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BC" w:rsidRDefault="00AE14BC" w:rsidP="00AE14BC">
      <w:pPr>
        <w:pStyle w:val="Heading1"/>
        <w:jc w:val="center"/>
        <w:rPr>
          <w:lang w:val="sr-Cyrl-RS"/>
        </w:rPr>
      </w:pPr>
      <w:r>
        <w:rPr>
          <w:lang w:val="sr-Cyrl-RS"/>
        </w:rPr>
        <w:t>ПО</w:t>
      </w:r>
      <w:bookmarkStart w:id="0" w:name="_GoBack"/>
      <w:bookmarkEnd w:id="0"/>
      <w:r>
        <w:rPr>
          <w:lang w:val="sr-Cyrl-RS"/>
        </w:rPr>
        <w:t>КРАЈИНСКИ СЕКРЕТАРИЈАТ ЗА ЕНЕРГЕТИКУ, ГРАЂЕВИНАРСТВО И САОБРАЋАЈ</w:t>
      </w:r>
    </w:p>
    <w:p w:rsidR="00AE14BC" w:rsidRDefault="00AE14BC" w:rsidP="00AE14BC">
      <w:pPr>
        <w:rPr>
          <w:lang w:val="sr-Latn-RS"/>
        </w:rPr>
      </w:pPr>
    </w:p>
    <w:p w:rsidR="00AE14BC" w:rsidRDefault="00AE14BC" w:rsidP="00AE14BC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Latn-RS"/>
        </w:rPr>
      </w:pPr>
      <w:r w:rsidRPr="00BF5053">
        <w:rPr>
          <w:rFonts w:ascii="Verdana" w:eastAsiaTheme="majorEastAsia" w:hAnsi="Verdana" w:cstheme="majorBidi"/>
          <w:b/>
          <w:bCs/>
          <w:sz w:val="20"/>
          <w:lang w:val="sr-Cyrl-RS"/>
        </w:rPr>
        <w:t>III Стратешки приоритети РПП  АПВ – део одрживи развој економије, транспорта и инфраструктуре</w:t>
      </w:r>
    </w:p>
    <w:p w:rsidR="00AE14BC" w:rsidRDefault="00AE14BC" w:rsidP="00AE14BC">
      <w:pPr>
        <w:pStyle w:val="NormalWeb1"/>
        <w:rPr>
          <w:rFonts w:eastAsiaTheme="majorEastAsia"/>
          <w:lang w:val="sr-Latn-RS"/>
        </w:rPr>
      </w:pPr>
    </w:p>
    <w:tbl>
      <w:tblPr>
        <w:tblW w:w="13724" w:type="dxa"/>
        <w:jc w:val="center"/>
        <w:tblInd w:w="-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902"/>
        <w:gridCol w:w="1902"/>
        <w:gridCol w:w="2552"/>
        <w:gridCol w:w="3118"/>
        <w:gridCol w:w="3033"/>
      </w:tblGrid>
      <w:tr w:rsidR="00AE14BC" w:rsidRPr="00400CDE" w:rsidTr="004C3E03">
        <w:trPr>
          <w:cantSplit/>
          <w:trHeight w:val="880"/>
          <w:tblHeader/>
          <w:jc w:val="center"/>
        </w:trPr>
        <w:tc>
          <w:tcPr>
            <w:tcW w:w="1217" w:type="dxa"/>
            <w:shd w:val="pct12" w:color="auto" w:fill="auto"/>
            <w:vAlign w:val="center"/>
          </w:tcPr>
          <w:p w:rsidR="00AE14BC" w:rsidRPr="00400CDE" w:rsidRDefault="00AE14BC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804" w:type="dxa"/>
            <w:gridSpan w:val="2"/>
            <w:shd w:val="pct12" w:color="auto" w:fill="auto"/>
            <w:vAlign w:val="center"/>
          </w:tcPr>
          <w:p w:rsidR="00AE14BC" w:rsidRPr="00400CDE" w:rsidRDefault="00AE14BC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AE14BC" w:rsidRPr="004A0C26" w:rsidRDefault="00AE14BC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AE14BC" w:rsidRPr="00400CDE" w:rsidRDefault="00AE14BC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  <w:r w:rsidRPr="00400CDE">
              <w:rPr>
                <w:rFonts w:ascii="Verdana" w:hAnsi="Verdana" w:cs="Times New Roman"/>
                <w:sz w:val="17"/>
                <w:szCs w:val="17"/>
                <w:lang w:val="sr-Cyrl-RS"/>
              </w:rPr>
              <w:t xml:space="preserve"> </w:t>
            </w:r>
          </w:p>
        </w:tc>
        <w:tc>
          <w:tcPr>
            <w:tcW w:w="3118" w:type="dxa"/>
            <w:shd w:val="pct12" w:color="auto" w:fill="auto"/>
            <w:vAlign w:val="center"/>
          </w:tcPr>
          <w:p w:rsidR="00AE14BC" w:rsidRPr="00400CDE" w:rsidRDefault="00AE14BC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3033" w:type="dxa"/>
            <w:shd w:val="pct12" w:color="auto" w:fill="auto"/>
            <w:vAlign w:val="center"/>
          </w:tcPr>
          <w:p w:rsidR="00AE14BC" w:rsidRPr="00400CDE" w:rsidRDefault="00AE14BC" w:rsidP="004C3E03">
            <w:pPr>
              <w:spacing w:after="60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A6679B"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  <w:t>Стање стратешког приоритета за 2019. годину</w:t>
            </w:r>
          </w:p>
        </w:tc>
      </w:tr>
      <w:tr w:rsidR="00AE14BC" w:rsidRPr="00400CDE" w:rsidTr="004C3E03">
        <w:trPr>
          <w:trHeight w:val="281"/>
          <w:jc w:val="center"/>
        </w:trPr>
        <w:tc>
          <w:tcPr>
            <w:tcW w:w="13724" w:type="dxa"/>
            <w:gridSpan w:val="6"/>
            <w:shd w:val="clear" w:color="auto" w:fill="D9D9D9" w:themeFill="background1" w:themeFillShade="D9"/>
            <w:vAlign w:val="center"/>
          </w:tcPr>
          <w:p w:rsidR="00AE14BC" w:rsidRPr="00400CDE" w:rsidRDefault="00AE14BC" w:rsidP="004C3E03">
            <w:pPr>
              <w:jc w:val="left"/>
              <w:rPr>
                <w:rFonts w:ascii="Verdana" w:hAnsi="Verdana"/>
                <w:b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b/>
                <w:sz w:val="16"/>
                <w:szCs w:val="15"/>
                <w:lang w:val="sr-Cyrl-RS"/>
              </w:rPr>
              <w:t>Путна мрежа и објекти</w:t>
            </w:r>
          </w:p>
        </w:tc>
      </w:tr>
      <w:tr w:rsidR="00AE14BC" w:rsidRPr="00400CDE" w:rsidTr="004C3E03">
        <w:trPr>
          <w:trHeight w:val="28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69.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Default="00AE14BC" w:rsidP="004C3E03">
            <w:pPr>
              <w:rPr>
                <w:rFonts w:ascii="Verdana" w:hAnsi="Verdana"/>
                <w:sz w:val="16"/>
                <w:lang w:val="sr-Latn-RS"/>
              </w:rPr>
            </w:pPr>
            <w:r w:rsidRPr="00BF5053">
              <w:rPr>
                <w:rFonts w:ascii="Verdana" w:hAnsi="Verdana"/>
                <w:sz w:val="16"/>
                <w:lang w:val="sr-Cyrl-RS"/>
              </w:rPr>
              <w:t xml:space="preserve">Реконструкција и изградња деоница државног пута I реда </w:t>
            </w:r>
            <w:proofErr w:type="spellStart"/>
            <w:r w:rsidRPr="00BF5053">
              <w:rPr>
                <w:rFonts w:ascii="Verdana" w:hAnsi="Verdana"/>
                <w:sz w:val="16"/>
                <w:lang w:val="sr-Cyrl-RS"/>
              </w:rPr>
              <w:t>Врбас</w:t>
            </w:r>
            <w:proofErr w:type="spellEnd"/>
            <w:r w:rsidRPr="00BF5053">
              <w:rPr>
                <w:rFonts w:ascii="Verdana" w:hAnsi="Verdana"/>
                <w:sz w:val="16"/>
                <w:lang w:val="sr-Cyrl-RS"/>
              </w:rPr>
              <w:t xml:space="preserve"> – Кула – Сомбор – државна граница Бачки Брег (веза Коридор Х – Коридор VII) са везом на планирани јужни аутопут кроз Мађарску: </w:t>
            </w:r>
          </w:p>
          <w:p w:rsidR="00AE14BC" w:rsidRPr="00BF5053" w:rsidRDefault="00AE14BC" w:rsidP="004C3E03">
            <w:pPr>
              <w:rPr>
                <w:rFonts w:ascii="Verdana" w:hAnsi="Verdana"/>
                <w:sz w:val="16"/>
                <w:lang w:val="sr-Cyrl-RS"/>
              </w:rPr>
            </w:pPr>
            <w:r>
              <w:rPr>
                <w:rFonts w:ascii="Verdana" w:hAnsi="Verdana"/>
                <w:sz w:val="16"/>
                <w:lang w:val="sr-Latn-RS"/>
              </w:rPr>
              <w:t>-</w:t>
            </w:r>
            <w:r w:rsidRPr="00BF5053">
              <w:rPr>
                <w:rFonts w:ascii="Verdana" w:hAnsi="Verdana"/>
                <w:sz w:val="16"/>
                <w:lang w:val="sr-Cyrl-RS"/>
              </w:rPr>
              <w:t>ДП IБ реда број 15 (Сомбор-Кула-</w:t>
            </w:r>
            <w:proofErr w:type="spellStart"/>
            <w:r w:rsidRPr="00BF5053">
              <w:rPr>
                <w:rFonts w:ascii="Verdana" w:hAnsi="Verdana"/>
                <w:sz w:val="16"/>
                <w:lang w:val="sr-Cyrl-RS"/>
              </w:rPr>
              <w:t>Врбас</w:t>
            </w:r>
            <w:proofErr w:type="spellEnd"/>
            <w:r w:rsidRPr="00BF5053">
              <w:rPr>
                <w:rFonts w:ascii="Verdana" w:hAnsi="Verdana"/>
                <w:sz w:val="16"/>
                <w:lang w:val="sr-Cyrl-RS"/>
              </w:rPr>
              <w:t>)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BF5053" w:rsidRDefault="00AE14BC" w:rsidP="004C3E03">
            <w:pPr>
              <w:rPr>
                <w:rFonts w:ascii="Verdana" w:hAnsi="Verdana"/>
                <w:sz w:val="16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Рехабилитација државног пута I реда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Врбас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– Кула – Сомбор- државна граница Бачки Брег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МГСИ, </w:t>
            </w:r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400CDE">
              <w:rPr>
                <w:rFonts w:ascii="Verdana" w:hAnsi="Verdana"/>
                <w:b/>
                <w:sz w:val="15"/>
                <w:szCs w:val="15"/>
                <w:lang w:val="sr-Cyrl-RS"/>
              </w:rPr>
              <w:t>ПСЕГС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, ПСУЗЖС, </w:t>
            </w:r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ЈП „Путеви Србије“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400CDE" w:rsidTr="004C3E03">
        <w:trPr>
          <w:trHeight w:val="28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78.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CB6DFA" w:rsidRDefault="00AE14BC" w:rsidP="004C3E03">
            <w:pPr>
              <w:jc w:val="left"/>
              <w:rPr>
                <w:rFonts w:ascii="Verdana" w:hAnsi="Verdana"/>
                <w:sz w:val="16"/>
                <w:szCs w:val="18"/>
                <w:lang w:val="sr-Latn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Рехабилитација путне мреже од регионалног значаја – „</w:t>
            </w:r>
            <w:proofErr w:type="spellStart"/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Гребенски</w:t>
            </w:r>
            <w:proofErr w:type="spellEnd"/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 xml:space="preserve"> пут“ на подручју Националног парка „Фрушка гора“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Реализација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рехбилитације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пута:</w:t>
            </w:r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Деоница Иришки венац-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Визић</w:t>
            </w:r>
            <w:proofErr w:type="spellEnd"/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Деоница Иришки венац-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Бешка</w:t>
            </w:r>
            <w:proofErr w:type="spellEnd"/>
          </w:p>
          <w:p w:rsidR="00AE14BC" w:rsidRPr="00CB6DFA" w:rsidRDefault="00AE14BC" w:rsidP="004C3E03">
            <w:pPr>
              <w:jc w:val="center"/>
              <w:rPr>
                <w:rFonts w:ascii="Verdana" w:hAnsi="Verdana"/>
                <w:sz w:val="16"/>
                <w:szCs w:val="18"/>
                <w:lang w:val="sr-Latn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Прекатегоризација пута у пут II реда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МГСИ, </w:t>
            </w:r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400CDE">
              <w:rPr>
                <w:rFonts w:ascii="Verdana" w:hAnsi="Verdana"/>
                <w:b/>
                <w:sz w:val="15"/>
                <w:szCs w:val="15"/>
                <w:lang w:val="sr-Cyrl-RS"/>
              </w:rPr>
              <w:t>ПСЕГС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, ПСУЗЖС, </w:t>
            </w:r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ЈП „Путеви Србије“, РРА Срем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400CDE" w:rsidTr="004C3E03">
        <w:trPr>
          <w:trHeight w:val="268"/>
          <w:jc w:val="center"/>
        </w:trPr>
        <w:tc>
          <w:tcPr>
            <w:tcW w:w="13724" w:type="dxa"/>
            <w:gridSpan w:val="6"/>
            <w:shd w:val="clear" w:color="auto" w:fill="D9D9D9" w:themeFill="background1" w:themeFillShade="D9"/>
            <w:vAlign w:val="center"/>
          </w:tcPr>
          <w:p w:rsidR="00AE14BC" w:rsidRPr="00400CDE" w:rsidRDefault="00AE14BC" w:rsidP="004C3E03">
            <w:pPr>
              <w:jc w:val="left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Железничка инфраструктура</w:t>
            </w:r>
          </w:p>
        </w:tc>
      </w:tr>
      <w:tr w:rsidR="00AE14BC" w:rsidRPr="00400CDE" w:rsidTr="004C3E03">
        <w:trPr>
          <w:trHeight w:val="156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84.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Остале пруге у мрежи - ревитализација и модернизација у складу са приоритетним потребама и могућностима финансирања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Израда пројектно-техничке документације за пругу Суботица -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Чикерија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–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Бачалмаш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– Баја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400CDE">
              <w:rPr>
                <w:rFonts w:ascii="Verdana" w:hAnsi="Verdana"/>
                <w:b/>
                <w:sz w:val="15"/>
                <w:szCs w:val="15"/>
                <w:lang w:val="sr-Cyrl-RS"/>
              </w:rPr>
              <w:t>ПСЕГС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,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Еврорегионална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развојна агенција ДКМТ из Сегедина, МГСИ, Инфраструктура железнице Србије, Мађарске железнице (MAV)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CB6DFA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Latn-RS"/>
              </w:rPr>
            </w:pPr>
          </w:p>
        </w:tc>
      </w:tr>
      <w:tr w:rsidR="00AE14BC" w:rsidRPr="00BF5053" w:rsidTr="004C3E03">
        <w:trPr>
          <w:trHeight w:val="283"/>
          <w:jc w:val="center"/>
        </w:trPr>
        <w:tc>
          <w:tcPr>
            <w:tcW w:w="13724" w:type="dxa"/>
            <w:gridSpan w:val="6"/>
            <w:shd w:val="clear" w:color="auto" w:fill="D9D9D9" w:themeFill="background1" w:themeFillShade="D9"/>
            <w:vAlign w:val="center"/>
          </w:tcPr>
          <w:p w:rsidR="00AE14BC" w:rsidRPr="00BF5053" w:rsidRDefault="00AE14BC" w:rsidP="004C3E03">
            <w:pPr>
              <w:jc w:val="left"/>
              <w:rPr>
                <w:rFonts w:ascii="Verdana" w:hAnsi="Verdana"/>
                <w:b/>
                <w:sz w:val="16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lastRenderedPageBreak/>
              <w:t>Унутрашњи пловни путеви – водни транспорт</w:t>
            </w:r>
          </w:p>
        </w:tc>
      </w:tr>
      <w:tr w:rsidR="00AE14BC" w:rsidRPr="00BF5053" w:rsidTr="004C3E03">
        <w:trPr>
          <w:trHeight w:val="28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88.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AE14BC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Latn-RS"/>
              </w:rPr>
            </w:pPr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Регулисање критичних сектора на унутрашњим пловним путевима Републике Србије (обезбеђивање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пловидбених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услова у складу са ЕУ прописима и препорукама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категоризације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пловних путева на рекама и ОКМ </w:t>
            </w:r>
            <w:proofErr w:type="spellStart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>Хс</w:t>
            </w:r>
            <w:proofErr w:type="spellEnd"/>
            <w:r w:rsidRPr="00BF5053">
              <w:rPr>
                <w:rFonts w:ascii="Verdana" w:hAnsi="Verdana"/>
                <w:sz w:val="16"/>
                <w:szCs w:val="15"/>
                <w:lang w:val="sr-Cyrl-RS"/>
              </w:rPr>
              <w:t xml:space="preserve"> ДТД, обезбеђење функционисања бродских преводница) </w:t>
            </w:r>
          </w:p>
          <w:p w:rsidR="00AE14BC" w:rsidRPr="00906FDF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Latn-RS"/>
              </w:rPr>
            </w:pPr>
            <w:r>
              <w:rPr>
                <w:rFonts w:ascii="Verdana" w:hAnsi="Verdana"/>
                <w:sz w:val="15"/>
                <w:szCs w:val="15"/>
                <w:lang w:val="sr-Latn-RS"/>
              </w:rPr>
              <w:t>-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Просторни план подручја посебне намене Пловне каналске мреже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Хидросистема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Дунав-Тиса-Дунав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МГСИ, ПСУЗЖС, </w:t>
            </w:r>
            <w:r w:rsidRPr="00400CDE">
              <w:rPr>
                <w:rFonts w:ascii="Verdana" w:hAnsi="Verdana"/>
                <w:b/>
                <w:sz w:val="15"/>
                <w:szCs w:val="15"/>
                <w:lang w:val="sr-Cyrl-RS"/>
              </w:rPr>
              <w:t>ПСЕГС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, ПСПВШ, ЈВП „Воде Војводине“, ЈП „Завод за урбанизам Војводине“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BF5053" w:rsidRDefault="00AE14BC" w:rsidP="004C3E03">
            <w:pPr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BF5053" w:rsidTr="004C3E03">
        <w:trPr>
          <w:trHeight w:val="288"/>
          <w:jc w:val="center"/>
        </w:trPr>
        <w:tc>
          <w:tcPr>
            <w:tcW w:w="13724" w:type="dxa"/>
            <w:gridSpan w:val="6"/>
            <w:shd w:val="clear" w:color="auto" w:fill="D9D9D9" w:themeFill="background1" w:themeFillShade="D9"/>
            <w:vAlign w:val="center"/>
          </w:tcPr>
          <w:p w:rsidR="00AE14BC" w:rsidRPr="00BF5053" w:rsidRDefault="00AE14BC" w:rsidP="004C3E03">
            <w:pPr>
              <w:jc w:val="left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proofErr w:type="spellStart"/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Интермодални</w:t>
            </w:r>
            <w:proofErr w:type="spellEnd"/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транспорт и логистички центри</w:t>
            </w:r>
          </w:p>
        </w:tc>
      </w:tr>
      <w:tr w:rsidR="00AE14BC" w:rsidRPr="00BF5053" w:rsidTr="004C3E03">
        <w:trPr>
          <w:trHeight w:val="70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91.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AE14BC" w:rsidRPr="00BF5053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lang w:val="sr-Cyrl-RS"/>
              </w:rPr>
              <w:t>Планирање, изградња и развој логистичке инфраструктуре у АПВ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lang w:val="sr-Cyrl-RS"/>
              </w:rPr>
              <w:t xml:space="preserve">ПСПТ, </w:t>
            </w:r>
            <w:r w:rsidRPr="00400CDE">
              <w:rPr>
                <w:rFonts w:ascii="Verdana" w:hAnsi="Verdana"/>
                <w:b/>
                <w:sz w:val="15"/>
                <w:lang w:val="sr-Cyrl-RS"/>
              </w:rPr>
              <w:t>ПСЕГС</w:t>
            </w: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,</w:t>
            </w:r>
          </w:p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Едукативни центар и ФТН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BF5053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</w:tr>
      <w:tr w:rsidR="00AE14BC" w:rsidRPr="00927C71" w:rsidTr="004C3E03">
        <w:trPr>
          <w:trHeight w:val="298"/>
          <w:jc w:val="center"/>
        </w:trPr>
        <w:tc>
          <w:tcPr>
            <w:tcW w:w="13724" w:type="dxa"/>
            <w:gridSpan w:val="6"/>
            <w:shd w:val="clear" w:color="auto" w:fill="D9D9D9" w:themeFill="background1" w:themeFillShade="D9"/>
            <w:vAlign w:val="center"/>
          </w:tcPr>
          <w:p w:rsidR="00AE14BC" w:rsidRPr="00927C71" w:rsidRDefault="00AE14BC" w:rsidP="004C3E03">
            <w:pP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927C71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Енергетика и енергетска инфраструктура</w:t>
            </w:r>
          </w:p>
        </w:tc>
      </w:tr>
      <w:tr w:rsidR="00AE14BC" w:rsidRPr="00927C71" w:rsidTr="004C3E03">
        <w:trPr>
          <w:trHeight w:val="90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927C71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95.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6"/>
                <w:szCs w:val="18"/>
                <w:lang w:val="sr-Cyrl-RS"/>
              </w:rPr>
              <w:t xml:space="preserve">ТС 400 (/220)/110 </w:t>
            </w:r>
            <w:proofErr w:type="spellStart"/>
            <w:r w:rsidRPr="00927C71">
              <w:rPr>
                <w:rFonts w:ascii="Verdana" w:hAnsi="Verdana"/>
                <w:sz w:val="16"/>
                <w:szCs w:val="18"/>
                <w:lang w:val="sr-Cyrl-RS"/>
              </w:rPr>
              <w:t>kV</w:t>
            </w:r>
            <w:proofErr w:type="spellEnd"/>
            <w:r w:rsidRPr="00927C71">
              <w:rPr>
                <w:rFonts w:ascii="Verdana" w:hAnsi="Verdana"/>
                <w:sz w:val="16"/>
                <w:szCs w:val="18"/>
                <w:lang w:val="sr-Cyrl-RS"/>
              </w:rPr>
              <w:t xml:space="preserve"> Србобран са расплетом ДВ 400 </w:t>
            </w:r>
            <w:proofErr w:type="spellStart"/>
            <w:r w:rsidRPr="00927C71">
              <w:rPr>
                <w:rFonts w:ascii="Verdana" w:hAnsi="Verdana"/>
                <w:sz w:val="16"/>
                <w:szCs w:val="18"/>
                <w:lang w:val="sr-Cyrl-RS"/>
              </w:rPr>
              <w:t>kV</w:t>
            </w:r>
            <w:proofErr w:type="spellEnd"/>
            <w:r w:rsidRPr="00927C71">
              <w:rPr>
                <w:rFonts w:ascii="Verdana" w:hAnsi="Verdana"/>
                <w:sz w:val="16"/>
                <w:szCs w:val="18"/>
                <w:lang w:val="sr-Cyrl-RS"/>
              </w:rPr>
              <w:t xml:space="preserve"> и 110 </w:t>
            </w:r>
            <w:proofErr w:type="spellStart"/>
            <w:r w:rsidRPr="00927C71">
              <w:rPr>
                <w:rFonts w:ascii="Verdana" w:hAnsi="Verdana"/>
                <w:sz w:val="16"/>
                <w:szCs w:val="18"/>
                <w:lang w:val="sr-Cyrl-RS"/>
              </w:rPr>
              <w:t>kV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ПСЕГС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927C71" w:rsidTr="004C3E03">
        <w:trPr>
          <w:trHeight w:val="28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927C71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9.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t>Подстицање развоја у домену енергетске ефикасности на регионалном нивоу и у руралним подручјима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ПСЕГС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927C71" w:rsidTr="004C3E03">
        <w:trPr>
          <w:trHeight w:val="274"/>
          <w:jc w:val="center"/>
        </w:trPr>
        <w:tc>
          <w:tcPr>
            <w:tcW w:w="13724" w:type="dxa"/>
            <w:gridSpan w:val="6"/>
            <w:shd w:val="clear" w:color="auto" w:fill="D9D9D9" w:themeFill="background1" w:themeFillShade="D9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Коришћење </w:t>
            </w:r>
            <w:proofErr w:type="spellStart"/>
            <w:r w:rsidRPr="00927C71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обновљивих</w:t>
            </w:r>
            <w:proofErr w:type="spellEnd"/>
            <w:r w:rsidRPr="00927C71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извора енергије</w:t>
            </w:r>
          </w:p>
        </w:tc>
      </w:tr>
      <w:tr w:rsidR="00AE14BC" w:rsidRPr="00927C71" w:rsidTr="004C3E03">
        <w:trPr>
          <w:trHeight w:val="327"/>
          <w:jc w:val="center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927C71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108.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t>Дефинисање програма који би инвеститорима омогућили улагање у обновљиве изворе енергије (путем концесије и сл); стварање услова за веће коришћење и инвестирање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lang w:val="sr-Cyrl-RS"/>
              </w:rPr>
              <w:t xml:space="preserve">Примена </w:t>
            </w:r>
            <w:proofErr w:type="spellStart"/>
            <w:r w:rsidRPr="00927C71">
              <w:rPr>
                <w:rFonts w:ascii="Verdana" w:hAnsi="Verdana"/>
                <w:sz w:val="15"/>
                <w:lang w:val="sr-Cyrl-RS"/>
              </w:rPr>
              <w:t>фотонапонских</w:t>
            </w:r>
            <w:proofErr w:type="spellEnd"/>
            <w:r w:rsidRPr="00927C71">
              <w:rPr>
                <w:rFonts w:ascii="Verdana" w:hAnsi="Verdana"/>
                <w:sz w:val="15"/>
                <w:lang w:val="sr-Cyrl-RS"/>
              </w:rPr>
              <w:t xml:space="preserve"> панела за производњу електричне енергије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b/>
                <w:sz w:val="15"/>
                <w:szCs w:val="15"/>
                <w:lang w:val="sr-Cyrl-RS"/>
              </w:rPr>
              <w:t>ПСЕГС</w:t>
            </w: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, ЈЛС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927C71" w:rsidTr="004C3E03">
        <w:trPr>
          <w:trHeight w:val="325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Коришћење комуналног отпада у енергетске сврхе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927C71" w:rsidTr="004C3E03">
        <w:trPr>
          <w:trHeight w:val="325"/>
          <w:jc w:val="center"/>
        </w:trPr>
        <w:tc>
          <w:tcPr>
            <w:tcW w:w="1217" w:type="dxa"/>
            <w:vMerge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 xml:space="preserve">Обавеза коришћења </w:t>
            </w:r>
            <w:proofErr w:type="spellStart"/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обновљивих</w:t>
            </w:r>
            <w:proofErr w:type="spellEnd"/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 xml:space="preserve"> извора енергије за примену у енергетске сврхе приликом изградње нових јавних објеката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927C71" w:rsidTr="004C3E03">
        <w:trPr>
          <w:trHeight w:val="28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927C71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109.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AE14BC" w:rsidRPr="00927C71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t xml:space="preserve">Израда енергетских мапа општина, потенцијала </w:t>
            </w:r>
            <w:proofErr w:type="spellStart"/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t>обновљивих</w:t>
            </w:r>
            <w:proofErr w:type="spellEnd"/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t xml:space="preserve"> извора енергије по општинама и планова развоја </w:t>
            </w:r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>енергетике Покрајине и локалних самоуправа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b/>
                <w:sz w:val="15"/>
                <w:szCs w:val="15"/>
                <w:lang w:val="sr-Cyrl-RS"/>
              </w:rPr>
              <w:lastRenderedPageBreak/>
              <w:t>ПСЕГС</w:t>
            </w: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, ЈЛС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E14BC" w:rsidRPr="00927C71" w:rsidTr="004C3E03">
        <w:trPr>
          <w:trHeight w:val="288"/>
          <w:jc w:val="center"/>
        </w:trPr>
        <w:tc>
          <w:tcPr>
            <w:tcW w:w="1217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927C71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lastRenderedPageBreak/>
              <w:t>110.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:rsidR="00AE14BC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Latn-RS"/>
              </w:rPr>
            </w:pPr>
            <w:r w:rsidRPr="00927C71">
              <w:rPr>
                <w:rFonts w:ascii="Verdana" w:hAnsi="Verdana"/>
                <w:sz w:val="16"/>
                <w:szCs w:val="15"/>
                <w:lang w:val="sr-Cyrl-RS"/>
              </w:rPr>
              <w:t>Израда регионалне платформе за развој тржишта биомасе</w:t>
            </w:r>
          </w:p>
          <w:p w:rsidR="00AE14BC" w:rsidRPr="00906FDF" w:rsidRDefault="00AE14BC" w:rsidP="004C3E03">
            <w:pPr>
              <w:jc w:val="left"/>
              <w:rPr>
                <w:rFonts w:ascii="Verdana" w:hAnsi="Verdana"/>
                <w:sz w:val="16"/>
                <w:szCs w:val="15"/>
                <w:lang w:val="sr-Latn-RS"/>
              </w:rPr>
            </w:pPr>
            <w:r>
              <w:rPr>
                <w:rFonts w:ascii="Verdana" w:hAnsi="Verdana"/>
                <w:sz w:val="15"/>
                <w:szCs w:val="15"/>
                <w:lang w:val="sr-Latn-RS"/>
              </w:rPr>
              <w:t>-</w:t>
            </w: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У оквиру пројекта „Смањење баријера за убрзани развој тржишта биомасе у Србији“ покренут је развој Е портала за трговину биомасом у Србији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 xml:space="preserve">МРЕ, МЗЖС, </w:t>
            </w:r>
            <w:r w:rsidRPr="00927C71">
              <w:rPr>
                <w:rFonts w:ascii="Verdana" w:hAnsi="Verdana"/>
                <w:b/>
                <w:sz w:val="15"/>
                <w:szCs w:val="15"/>
                <w:lang w:val="sr-Cyrl-RS"/>
              </w:rPr>
              <w:t>ПСЕГС</w:t>
            </w: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 xml:space="preserve">, </w:t>
            </w:r>
          </w:p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927C71">
              <w:rPr>
                <w:rFonts w:ascii="Verdana" w:hAnsi="Verdana"/>
                <w:sz w:val="15"/>
                <w:szCs w:val="15"/>
                <w:lang w:val="sr-Cyrl-RS"/>
              </w:rPr>
              <w:t>UNDP, ПКС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3033" w:type="dxa"/>
            <w:vAlign w:val="center"/>
          </w:tcPr>
          <w:p w:rsidR="00AE14BC" w:rsidRPr="00927C71" w:rsidRDefault="00AE14BC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</w:tbl>
    <w:p w:rsidR="00AE14BC" w:rsidRPr="0044093D" w:rsidRDefault="00AE14BC" w:rsidP="00AE14BC">
      <w:pPr>
        <w:rPr>
          <w:lang w:val="sr-Cyrl-RS"/>
        </w:rPr>
      </w:pPr>
    </w:p>
    <w:p w:rsidR="00CB29B8" w:rsidRDefault="00CB29B8"/>
    <w:sectPr w:rsidR="00CB29B8" w:rsidSect="00B973C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D3" w:rsidRDefault="00BE41D3" w:rsidP="00DE5E4E">
      <w:r>
        <w:separator/>
      </w:r>
    </w:p>
  </w:endnote>
  <w:endnote w:type="continuationSeparator" w:id="0">
    <w:p w:rsidR="00BE41D3" w:rsidRDefault="00BE41D3" w:rsidP="00DE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4E" w:rsidRDefault="00DE5E4E" w:rsidP="00DE5E4E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  <w:r w:rsidRPr="008F4DE5">
      <w:rPr>
        <w:rFonts w:eastAsia="Verdana"/>
        <w:noProof/>
        <w:sz w:val="16"/>
        <w:lang w:eastAsia="sr-Cyrl-RS"/>
      </w:rPr>
      <w:drawing>
        <wp:anchor distT="0" distB="0" distL="114300" distR="114300" simplePos="0" relativeHeight="251659264" behindDoc="1" locked="0" layoutInCell="1" allowOverlap="1" wp14:anchorId="1EED425D" wp14:editId="0F17B072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DE5E4E" w:rsidRPr="00DE5E4E" w:rsidRDefault="00DE5E4E" w:rsidP="00DE5E4E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</w:p>
  <w:p w:rsidR="00DE5E4E" w:rsidRPr="00DE5E4E" w:rsidRDefault="00DE5E4E" w:rsidP="00DE5E4E">
    <w:pPr>
      <w:tabs>
        <w:tab w:val="center" w:pos="4680"/>
        <w:tab w:val="right" w:pos="9360"/>
      </w:tabs>
      <w:jc w:val="center"/>
      <w:rPr>
        <w:rFonts w:eastAsia="Verdana"/>
        <w:sz w:val="16"/>
        <w:lang w:val="sr-Cyrl-RS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>
      <w:rPr>
        <w:rFonts w:eastAsia="Verdana"/>
        <w:noProof/>
        <w:sz w:val="16"/>
      </w:rPr>
      <w:t>2</w:t>
    </w:r>
    <w:r w:rsidRPr="008F4DE5">
      <w:rPr>
        <w:rFonts w:eastAsia="Verdana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D3" w:rsidRDefault="00BE41D3" w:rsidP="00DE5E4E">
      <w:r>
        <w:separator/>
      </w:r>
    </w:p>
  </w:footnote>
  <w:footnote w:type="continuationSeparator" w:id="0">
    <w:p w:rsidR="00BE41D3" w:rsidRDefault="00BE41D3" w:rsidP="00DE5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4E" w:rsidRPr="008F4DE5" w:rsidRDefault="00DE5E4E" w:rsidP="00DE5E4E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  <w:lang w:val="sr-Cyrl-RS"/>
      </w:rPr>
      <w:t xml:space="preserve">Извештај о остваривању </w:t>
    </w:r>
    <w:proofErr w:type="spellStart"/>
    <w:r w:rsidRPr="008F4DE5">
      <w:rPr>
        <w:rFonts w:eastAsia="Verdana"/>
        <w:color w:val="A6A6A6"/>
        <w:sz w:val="16"/>
      </w:rPr>
      <w:t>Регионалног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просторног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плана</w:t>
    </w:r>
    <w:proofErr w:type="spellEnd"/>
    <w:r w:rsidRPr="008F4DE5">
      <w:rPr>
        <w:rFonts w:eastAsia="Verdana"/>
        <w:color w:val="A6A6A6"/>
        <w:sz w:val="16"/>
      </w:rPr>
      <w:t xml:space="preserve"> АП </w:t>
    </w:r>
    <w:proofErr w:type="spellStart"/>
    <w:r w:rsidRPr="008F4DE5">
      <w:rPr>
        <w:rFonts w:eastAsia="Verdana"/>
        <w:color w:val="A6A6A6"/>
        <w:sz w:val="16"/>
      </w:rPr>
      <w:t>Војводине</w:t>
    </w:r>
    <w:proofErr w:type="spellEnd"/>
    <w:r w:rsidRPr="008F4DE5">
      <w:rPr>
        <w:rFonts w:eastAsia="Verdana"/>
        <w:color w:val="A6A6A6"/>
        <w:sz w:val="16"/>
      </w:rPr>
      <w:t xml:space="preserve"> </w:t>
    </w:r>
    <w:r>
      <w:rPr>
        <w:rFonts w:eastAsia="Verdana"/>
        <w:color w:val="A6A6A6"/>
        <w:sz w:val="16"/>
        <w:lang w:val="sr-Cyrl-RS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  <w:lang w:val="sr-Cyrl-RS"/>
      </w:rPr>
      <w:t>8</w:t>
    </w:r>
    <w:r>
      <w:rPr>
        <w:rFonts w:eastAsia="Verdana"/>
        <w:color w:val="A6A6A6"/>
        <w:sz w:val="16"/>
      </w:rPr>
      <w:t>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  <w:lang w:val="sr-Cyrl-RS"/>
      </w:rPr>
      <w:t>9</w:t>
    </w:r>
    <w:r w:rsidRPr="008F4DE5">
      <w:rPr>
        <w:rFonts w:eastAsia="Verdana"/>
        <w:color w:val="A6A6A6"/>
        <w:sz w:val="16"/>
      </w:rPr>
      <w:t xml:space="preserve">. </w:t>
    </w:r>
    <w:proofErr w:type="spellStart"/>
    <w:proofErr w:type="gramStart"/>
    <w:r w:rsidRPr="008F4DE5">
      <w:rPr>
        <w:rFonts w:eastAsia="Verdana"/>
        <w:color w:val="A6A6A6"/>
        <w:sz w:val="16"/>
      </w:rPr>
      <w:t>године</w:t>
    </w:r>
    <w:proofErr w:type="spellEnd"/>
    <w:proofErr w:type="gramEnd"/>
  </w:p>
  <w:p w:rsidR="00DE5E4E" w:rsidRPr="00DE5E4E" w:rsidRDefault="00DE5E4E" w:rsidP="00DE5E4E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  <w:lang w:val="sr-Cyrl-RS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BC"/>
    <w:rsid w:val="00AE14BC"/>
    <w:rsid w:val="00BE41D3"/>
    <w:rsid w:val="00CB29B8"/>
    <w:rsid w:val="00D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BC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4BC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4BC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AE14BC"/>
    <w:rPr>
      <w:rFonts w:ascii="Verdana" w:eastAsia="Times New Roman" w:hAnsi="Verdana" w:cs="Times New Roman"/>
      <w:sz w:val="18"/>
      <w:szCs w:val="20"/>
      <w:lang w:val="sr-Cyrl-CS" w:eastAsia="sr-Cyrl-CS"/>
    </w:rPr>
  </w:style>
  <w:style w:type="paragraph" w:styleId="Header">
    <w:name w:val="header"/>
    <w:basedOn w:val="Normal"/>
    <w:link w:val="HeaderChar"/>
    <w:uiPriority w:val="99"/>
    <w:unhideWhenUsed/>
    <w:rsid w:val="00DE5E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4E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E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4E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BC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4BC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4BC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AE14BC"/>
    <w:rPr>
      <w:rFonts w:ascii="Verdana" w:eastAsia="Times New Roman" w:hAnsi="Verdana" w:cs="Times New Roman"/>
      <w:sz w:val="18"/>
      <w:szCs w:val="20"/>
      <w:lang w:val="sr-Cyrl-CS" w:eastAsia="sr-Cyrl-CS"/>
    </w:rPr>
  </w:style>
  <w:style w:type="paragraph" w:styleId="Header">
    <w:name w:val="header"/>
    <w:basedOn w:val="Normal"/>
    <w:link w:val="HeaderChar"/>
    <w:uiPriority w:val="99"/>
    <w:unhideWhenUsed/>
    <w:rsid w:val="00DE5E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4E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E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4E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2</cp:revision>
  <dcterms:created xsi:type="dcterms:W3CDTF">2019-06-10T07:22:00Z</dcterms:created>
  <dcterms:modified xsi:type="dcterms:W3CDTF">2019-06-10T10:12:00Z</dcterms:modified>
</cp:coreProperties>
</file>